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ageBreakBefore w:val="0"/>
      </w:pPr>
      <w:r>
        <w:rPr>
          <w:rFonts w:ascii="Georgia" w:hAnsi="Georgia"/>
          <w:b w:val="0"/>
          <w:color w:val="1F1D1A"/>
          <w:sz w:val="36"/>
        </w:rPr>
        <w:t>Standard operating procedure</w:t>
      </w:r>
    </w:p>
    <w:p>
      <w:pPr>
        <w:spacing w:after="100"/>
      </w:pPr>
      <w:r>
        <w:rPr>
          <w:rFonts w:ascii="Calibri" w:hAnsi="Calibri"/>
          <w:b w:val="0"/>
          <w:color w:val="6B665E"/>
          <w:sz w:val="18"/>
        </w:rPr>
        <w:t>Fill in the box at the top first. Keep each step to one action, and say how you know it is done.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2520"/>
        <w:gridCol w:w="2520"/>
        <w:gridCol w:w="2520"/>
        <w:gridCol w:w="2520"/>
      </w:tblGrid>
      <w:tr>
        <w:trPr>
          <w:trHeight w:val="360"/>
        </w:trPr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SOP title</w:t>
            </w:r>
          </w:p>
        </w:tc>
        <w:tc>
          <w:tcPr>
            <w:tcW w:type="dxa" w:w="352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8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SOP number</w:t>
            </w:r>
          </w:p>
        </w:tc>
        <w:tc>
          <w:tcPr>
            <w:tcW w:type="dxa" w:w="32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Owner</w:t>
            </w:r>
          </w:p>
        </w:tc>
        <w:tc>
          <w:tcPr>
            <w:tcW w:type="dxa" w:w="352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8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Version</w:t>
            </w:r>
          </w:p>
        </w:tc>
        <w:tc>
          <w:tcPr>
            <w:tcW w:type="dxa" w:w="32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Approved by</w:t>
            </w:r>
          </w:p>
        </w:tc>
        <w:tc>
          <w:tcPr>
            <w:tcW w:type="dxa" w:w="352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8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Effective date</w:t>
            </w:r>
          </w:p>
        </w:tc>
        <w:tc>
          <w:tcPr>
            <w:tcW w:type="dxa" w:w="32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Applies to</w:t>
            </w:r>
          </w:p>
        </w:tc>
        <w:tc>
          <w:tcPr>
            <w:tcW w:type="dxa" w:w="352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8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Next review date</w:t>
            </w:r>
          </w:p>
        </w:tc>
        <w:tc>
          <w:tcPr>
            <w:tcW w:type="dxa" w:w="32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1. Purpose: why this procedure exists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10080"/>
      </w:tblGrid>
      <w:tr>
        <w:trPr>
          <w:trHeight w:val="432"/>
        </w:trPr>
        <w:tc>
          <w:tcPr>
            <w:tcW w:type="dxa" w:w="100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2. Scope: when it applies, and when it does not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10080"/>
      </w:tblGrid>
      <w:tr>
        <w:trPr>
          <w:trHeight w:val="432"/>
        </w:trPr>
        <w:tc>
          <w:tcPr>
            <w:tcW w:type="dxa" w:w="100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3. Roles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5040"/>
        <w:gridCol w:w="5040"/>
      </w:tblGrid>
      <w:tr>
        <w:tc>
          <w:tcPr>
            <w:tcW w:type="dxa" w:w="259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Role</w:t>
            </w:r>
          </w:p>
        </w:tc>
        <w:tc>
          <w:tcPr>
            <w:tcW w:type="dxa" w:w="7488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What they do in this procedure</w:t>
            </w:r>
          </w:p>
        </w:tc>
      </w:tr>
      <w:tr>
        <w:trPr>
          <w:trHeight w:val="346"/>
        </w:trPr>
        <w:tc>
          <w:tcPr>
            <w:tcW w:type="dxa" w:w="259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748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46"/>
        </w:trPr>
        <w:tc>
          <w:tcPr>
            <w:tcW w:type="dxa" w:w="259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748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46"/>
        </w:trPr>
        <w:tc>
          <w:tcPr>
            <w:tcW w:type="dxa" w:w="259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748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4. Before you start: access, tools, information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10080"/>
      </w:tblGrid>
      <w:tr>
        <w:trPr>
          <w:trHeight w:val="432"/>
        </w:trPr>
        <w:tc>
          <w:tcPr>
            <w:tcW w:type="dxa" w:w="100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5. Steps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43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#</w:t>
            </w:r>
          </w:p>
        </w:tc>
        <w:tc>
          <w:tcPr>
            <w:tcW w:type="dxa" w:w="54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Do this (start with a verb)</w:t>
            </w:r>
          </w:p>
        </w:tc>
        <w:tc>
          <w:tcPr>
            <w:tcW w:type="dxa" w:w="1368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Who</w:t>
            </w:r>
          </w:p>
        </w:tc>
        <w:tc>
          <w:tcPr>
            <w:tcW w:type="dxa" w:w="288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Done when</w:t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6. If something goes wrong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3360"/>
        <w:gridCol w:w="3360"/>
        <w:gridCol w:w="3360"/>
      </w:tblGrid>
      <w:tr>
        <w:tc>
          <w:tcPr>
            <w:tcW w:type="dxa" w:w="36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If this happens</w:t>
            </w:r>
          </w:p>
        </w:tc>
        <w:tc>
          <w:tcPr>
            <w:tcW w:type="dxa" w:w="504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Do this</w:t>
            </w:r>
          </w:p>
        </w:tc>
        <w:tc>
          <w:tcPr>
            <w:tcW w:type="dxa" w:w="144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Tell</w:t>
            </w:r>
          </w:p>
        </w:tc>
      </w:tr>
      <w:tr>
        <w:trPr>
          <w:trHeight w:val="346"/>
        </w:trPr>
        <w:tc>
          <w:tcPr>
            <w:tcW w:type="dxa" w:w="36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0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4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46"/>
        </w:trPr>
        <w:tc>
          <w:tcPr>
            <w:tcW w:type="dxa" w:w="36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0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4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7. Related documents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10080"/>
      </w:tblGrid>
      <w:tr>
        <w:trPr>
          <w:trHeight w:val="374"/>
        </w:trPr>
        <w:tc>
          <w:tcPr>
            <w:tcW w:type="dxa" w:w="100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8. Revision history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1008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Version</w:t>
            </w:r>
          </w:p>
        </w:tc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Date</w:t>
            </w:r>
          </w:p>
        </w:tc>
        <w:tc>
          <w:tcPr>
            <w:tcW w:type="dxa" w:w="5976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What changed</w:t>
            </w:r>
          </w:p>
        </w:tc>
        <w:tc>
          <w:tcPr>
            <w:tcW w:type="dxa" w:w="1584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Changed by</w:t>
            </w:r>
          </w:p>
        </w:tc>
      </w:tr>
      <w:tr>
        <w:trPr>
          <w:trHeight w:val="346"/>
        </w:trPr>
        <w:tc>
          <w:tcPr>
            <w:tcW w:type="dxa" w:w="100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51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976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584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  <w:tr>
        <w:trPr>
          <w:trHeight w:val="346"/>
        </w:trPr>
        <w:tc>
          <w:tcPr>
            <w:tcW w:type="dxa" w:w="100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51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5976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  <w:tc>
          <w:tcPr>
            <w:tcW w:type="dxa" w:w="1584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</w:r>
          </w:p>
        </w:tc>
      </w:tr>
    </w:tbl>
    <w:p>
      <w:pPr>
        <w:pageBreakBefore/>
      </w:pPr>
      <w:r>
        <w:rPr>
          <w:rFonts w:ascii="Georgia" w:hAnsi="Georgia"/>
          <w:b w:val="0"/>
          <w:color w:val="1F1D1A"/>
          <w:sz w:val="36"/>
        </w:rPr>
        <w:t>Standard operating procedure: example</w:t>
      </w:r>
    </w:p>
    <w:p>
      <w:pPr>
        <w:spacing w:after="100"/>
      </w:pPr>
      <w:r>
        <w:rPr>
          <w:rFonts w:ascii="Calibri" w:hAnsi="Calibri"/>
          <w:b w:val="0"/>
          <w:color w:val="6B665E"/>
          <w:sz w:val="18"/>
        </w:rPr>
        <w:t>A filled example for a small online shop. Delete this page when you are done with it.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2520"/>
        <w:gridCol w:w="2520"/>
        <w:gridCol w:w="2520"/>
        <w:gridCol w:w="2520"/>
      </w:tblGrid>
      <w:tr>
        <w:trPr>
          <w:trHeight w:val="360"/>
        </w:trPr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SOP title</w:t>
            </w:r>
          </w:p>
        </w:tc>
        <w:tc>
          <w:tcPr>
            <w:tcW w:type="dxa" w:w="352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Issue a customer refund</w:t>
            </w:r>
          </w:p>
        </w:tc>
        <w:tc>
          <w:tcPr>
            <w:tcW w:type="dxa" w:w="18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SOP number</w:t>
            </w:r>
          </w:p>
        </w:tc>
        <w:tc>
          <w:tcPr>
            <w:tcW w:type="dxa" w:w="32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CS-004</w:t>
            </w:r>
          </w:p>
        </w:tc>
      </w:tr>
      <w:tr>
        <w:trPr>
          <w:trHeight w:val="360"/>
        </w:trPr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Owner</w:t>
            </w:r>
          </w:p>
        </w:tc>
        <w:tc>
          <w:tcPr>
            <w:tcW w:type="dxa" w:w="352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Dana, customer support lead</w:t>
            </w:r>
          </w:p>
        </w:tc>
        <w:tc>
          <w:tcPr>
            <w:tcW w:type="dxa" w:w="18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Version</w:t>
            </w:r>
          </w:p>
        </w:tc>
        <w:tc>
          <w:tcPr>
            <w:tcW w:type="dxa" w:w="32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1.2</w:t>
            </w:r>
          </w:p>
        </w:tc>
      </w:tr>
      <w:tr>
        <w:trPr>
          <w:trHeight w:val="360"/>
        </w:trPr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Approved by</w:t>
            </w:r>
          </w:p>
        </w:tc>
        <w:tc>
          <w:tcPr>
            <w:tcW w:type="dxa" w:w="352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Chris, operations manager</w:t>
            </w:r>
          </w:p>
        </w:tc>
        <w:tc>
          <w:tcPr>
            <w:tcW w:type="dxa" w:w="18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Effective date</w:t>
            </w:r>
          </w:p>
        </w:tc>
        <w:tc>
          <w:tcPr>
            <w:tcW w:type="dxa" w:w="32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2 November 2026</w:t>
            </w:r>
          </w:p>
        </w:tc>
      </w:tr>
      <w:tr>
        <w:trPr>
          <w:trHeight w:val="360"/>
        </w:trPr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Applies to</w:t>
            </w:r>
          </w:p>
        </w:tc>
        <w:tc>
          <w:tcPr>
            <w:tcW w:type="dxa" w:w="352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Online shop support team</w:t>
            </w:r>
          </w:p>
        </w:tc>
        <w:tc>
          <w:tcPr>
            <w:tcW w:type="dxa" w:w="18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Next review date</w:t>
            </w:r>
          </w:p>
        </w:tc>
        <w:tc>
          <w:tcPr>
            <w:tcW w:type="dxa" w:w="32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2 May 2027</w:t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1. Purpose: why this procedure exists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10080"/>
      </w:tblGrid>
      <w:tr>
        <w:trPr>
          <w:trHeight w:val="432"/>
        </w:trPr>
        <w:tc>
          <w:tcPr>
            <w:tcW w:type="dxa" w:w="100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So every eligible customer gets the right amount back within two working days, and every refund can be traced to a request.</w:t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2. Scope: when it applies, and when it does not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10080"/>
      </w:tblGrid>
      <w:tr>
        <w:trPr>
          <w:trHeight w:val="432"/>
        </w:trPr>
        <w:tc>
          <w:tcPr>
            <w:tcW w:type="dxa" w:w="100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Card orders through the online shop. Not wholesale invoices (FIN-011) or chargebacks (CS-007).</w:t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3. Roles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5040"/>
        <w:gridCol w:w="5040"/>
      </w:tblGrid>
      <w:tr>
        <w:tc>
          <w:tcPr>
            <w:tcW w:type="dxa" w:w="259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Role</w:t>
            </w:r>
          </w:p>
        </w:tc>
        <w:tc>
          <w:tcPr>
            <w:tcW w:type="dxa" w:w="7488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What they do in this procedure</w:t>
            </w:r>
          </w:p>
        </w:tc>
      </w:tr>
      <w:tr>
        <w:trPr>
          <w:trHeight w:val="346"/>
        </w:trPr>
        <w:tc>
          <w:tcPr>
            <w:tcW w:type="dxa" w:w="259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Support agent</w:t>
            </w:r>
          </w:p>
        </w:tc>
        <w:tc>
          <w:tcPr>
            <w:tcW w:type="dxa" w:w="748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Checks the request, issues refunds up to $100, records the result.</w:t>
            </w:r>
          </w:p>
        </w:tc>
      </w:tr>
      <w:tr>
        <w:trPr>
          <w:trHeight w:val="346"/>
        </w:trPr>
        <w:tc>
          <w:tcPr>
            <w:tcW w:type="dxa" w:w="259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Support lead</w:t>
            </w:r>
          </w:p>
        </w:tc>
        <w:tc>
          <w:tcPr>
            <w:tcW w:type="dxa" w:w="748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Approves refunds over $100 and handles disputes.</w:t>
            </w:r>
          </w:p>
        </w:tc>
      </w:tr>
      <w:tr>
        <w:trPr>
          <w:trHeight w:val="346"/>
        </w:trPr>
        <w:tc>
          <w:tcPr>
            <w:tcW w:type="dxa" w:w="259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Finance</w:t>
            </w:r>
          </w:p>
        </w:tc>
        <w:tc>
          <w:tcPr>
            <w:tcW w:type="dxa" w:w="748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Reconciles refunds against the payment report every Friday.</w:t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4. Before you start: access, tools, information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10080"/>
      </w:tblGrid>
      <w:tr>
        <w:trPr>
          <w:trHeight w:val="432"/>
        </w:trPr>
        <w:tc>
          <w:tcPr>
            <w:tcW w:type="dxa" w:w="100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Admin access to the shop, access to the payment dashboard, the customer's order number.</w:t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5. Steps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43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#</w:t>
            </w:r>
          </w:p>
        </w:tc>
        <w:tc>
          <w:tcPr>
            <w:tcW w:type="dxa" w:w="54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Do this (start with a verb)</w:t>
            </w:r>
          </w:p>
        </w:tc>
        <w:tc>
          <w:tcPr>
            <w:tcW w:type="dxa" w:w="1368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Who</w:t>
            </w:r>
          </w:p>
        </w:tc>
        <w:tc>
          <w:tcPr>
            <w:tcW w:type="dxa" w:w="288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Done when</w:t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1</w:t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Find the order and confirm the name matches the request.</w:t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Agent</w:t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Order is open on screen</w:t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2</w:t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Check the order date against the 30-day refund window.</w:t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Agent</w:t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Inside 30 days, or go to section 6</w:t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3</w:t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If the refund is over $100, ask the support lead to approve it.</w:t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Agent, lead</w:t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Approval noted on the ticket</w:t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4</w:t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Issue the refund to the original payment method.</w:t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Agent</w:t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Dashboard shows Refunded</w:t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5</w:t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Email the customer using reply template R2, with the amount.</w:t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Agent</w:t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Email sent from the ticket</w:t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6</w:t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Add the refund reason code to the order.</w:t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Agent</w:t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Reason code saved</w:t>
            </w:r>
          </w:p>
        </w:tc>
      </w:tr>
      <w:tr>
        <w:trPr>
          <w:trHeight w:val="360"/>
        </w:trPr>
        <w:tc>
          <w:tcPr>
            <w:tcW w:type="dxa" w:w="43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7</w:t>
            </w:r>
          </w:p>
        </w:tc>
        <w:tc>
          <w:tcPr>
            <w:tcW w:type="dxa" w:w="54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Close the ticket.</w:t>
            </w:r>
          </w:p>
        </w:tc>
        <w:tc>
          <w:tcPr>
            <w:tcW w:type="dxa" w:w="136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Agent</w:t>
            </w:r>
          </w:p>
        </w:tc>
        <w:tc>
          <w:tcPr>
            <w:tcW w:type="dxa" w:w="28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Ticket status is Solved</w:t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6. If something goes wrong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3360"/>
        <w:gridCol w:w="3360"/>
        <w:gridCol w:w="3360"/>
      </w:tblGrid>
      <w:tr>
        <w:tc>
          <w:tcPr>
            <w:tcW w:type="dxa" w:w="360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If this happens</w:t>
            </w:r>
          </w:p>
        </w:tc>
        <w:tc>
          <w:tcPr>
            <w:tcW w:type="dxa" w:w="504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Do this</w:t>
            </w:r>
          </w:p>
        </w:tc>
        <w:tc>
          <w:tcPr>
            <w:tcW w:type="dxa" w:w="1440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Tell</w:t>
            </w:r>
          </w:p>
        </w:tc>
      </w:tr>
      <w:tr>
        <w:trPr>
          <w:trHeight w:val="346"/>
        </w:trPr>
        <w:tc>
          <w:tcPr>
            <w:tcW w:type="dxa" w:w="36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Order is outside the 30-day window</w:t>
            </w:r>
          </w:p>
        </w:tc>
        <w:tc>
          <w:tcPr>
            <w:tcW w:type="dxa" w:w="50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Do not refund. Pass it to the support lead.</w:t>
            </w:r>
          </w:p>
        </w:tc>
        <w:tc>
          <w:tcPr>
            <w:tcW w:type="dxa" w:w="14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Lead</w:t>
            </w:r>
          </w:p>
        </w:tc>
      </w:tr>
      <w:tr>
        <w:trPr>
          <w:trHeight w:val="346"/>
        </w:trPr>
        <w:tc>
          <w:tcPr>
            <w:tcW w:type="dxa" w:w="360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Refund fails in the dashboard</w:t>
            </w:r>
          </w:p>
        </w:tc>
        <w:tc>
          <w:tcPr>
            <w:tcW w:type="dxa" w:w="50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Do not retry. Log the error text on the ticket.</w:t>
            </w:r>
          </w:p>
        </w:tc>
        <w:tc>
          <w:tcPr>
            <w:tcW w:type="dxa" w:w="144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Finance</w:t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7. Related documents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10080"/>
      </w:tblGrid>
      <w:tr>
        <w:trPr>
          <w:trHeight w:val="374"/>
        </w:trPr>
        <w:tc>
          <w:tcPr>
            <w:tcW w:type="dxa" w:w="10080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CS-007 Chargebacks; reply template R2; Refund policy (public page).</w:t>
            </w:r>
          </w:p>
        </w:tc>
      </w:tr>
    </w:tbl>
    <w:p>
      <w:pPr>
        <w:keepNext/>
        <w:spacing w:before="100" w:after="40"/>
      </w:pPr>
      <w:r>
        <w:rPr>
          <w:rFonts w:ascii="Georgia" w:hAnsi="Georgia"/>
          <w:b w:val="0"/>
          <w:color w:val="1F1D1A"/>
          <w:sz w:val="22"/>
        </w:rPr>
        <w:t>8. Revision history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3C7"/>
          <w:left w:val="single" w:sz="4" w:color="D9D3C7"/>
          <w:bottom w:val="single" w:sz="4" w:color="D9D3C7"/>
          <w:right w:val="single" w:sz="4" w:color="D9D3C7"/>
          <w:insideH w:val="single" w:sz="4" w:color="D9D3C7"/>
          <w:insideV w:val="single" w:sz="4" w:color="D9D3C7"/>
        </w:tblBorders>
      </w:tblPr>
      <w:tblGrid>
        <w:gridCol w:w="2520"/>
        <w:gridCol w:w="2520"/>
        <w:gridCol w:w="2520"/>
        <w:gridCol w:w="2520"/>
      </w:tblGrid>
      <w:tr>
        <w:tc>
          <w:tcPr>
            <w:tcW w:type="dxa" w:w="1008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Version</w:t>
            </w:r>
          </w:p>
        </w:tc>
        <w:tc>
          <w:tcPr>
            <w:tcW w:type="dxa" w:w="1512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Date</w:t>
            </w:r>
          </w:p>
        </w:tc>
        <w:tc>
          <w:tcPr>
            <w:tcW w:type="dxa" w:w="5976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What changed</w:t>
            </w:r>
          </w:p>
        </w:tc>
        <w:tc>
          <w:tcPr>
            <w:tcW w:type="dxa" w:w="1584"/>
            <w:shd w:val="clear" w:color="auto" w:fill="F3EFE7"/>
          </w:tcPr>
          <w:p>
            <w:r>
              <w:rPr>
                <w:rFonts w:ascii="Calibri" w:hAnsi="Calibri"/>
                <w:b/>
                <w:color w:val="1F1D1A"/>
                <w:sz w:val="18"/>
              </w:rPr>
              <w:t>Changed by</w:t>
            </w:r>
          </w:p>
        </w:tc>
      </w:tr>
      <w:tr>
        <w:trPr>
          <w:trHeight w:val="346"/>
        </w:trPr>
        <w:tc>
          <w:tcPr>
            <w:tcW w:type="dxa" w:w="100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1.2</w:t>
            </w:r>
          </w:p>
        </w:tc>
        <w:tc>
          <w:tcPr>
            <w:tcW w:type="dxa" w:w="151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2 Nov 2026</w:t>
            </w:r>
          </w:p>
        </w:tc>
        <w:tc>
          <w:tcPr>
            <w:tcW w:type="dxa" w:w="5976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Approval limit raised from $50 to $100; step 3 updated.</w:t>
            </w:r>
          </w:p>
        </w:tc>
        <w:tc>
          <w:tcPr>
            <w:tcW w:type="dxa" w:w="1584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Dana</w:t>
            </w:r>
          </w:p>
        </w:tc>
      </w:tr>
      <w:tr>
        <w:trPr>
          <w:trHeight w:val="346"/>
        </w:trPr>
        <w:tc>
          <w:tcPr>
            <w:tcW w:type="dxa" w:w="1008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1.1</w:t>
            </w:r>
          </w:p>
        </w:tc>
        <w:tc>
          <w:tcPr>
            <w:tcW w:type="dxa" w:w="1512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4 May 2026</w:t>
            </w:r>
          </w:p>
        </w:tc>
        <w:tc>
          <w:tcPr>
            <w:tcW w:type="dxa" w:w="5976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Added reason codes (step 6) after Finance review.</w:t>
            </w:r>
          </w:p>
        </w:tc>
        <w:tc>
          <w:tcPr>
            <w:tcW w:type="dxa" w:w="1584"/>
          </w:tcPr>
          <w:p>
            <w:r>
              <w:rPr>
                <w:rFonts w:ascii="Calibri" w:hAnsi="Calibri"/>
                <w:b w:val="0"/>
                <w:color w:val="1F1D1A"/>
                <w:sz w:val="19"/>
              </w:rPr>
              <w:t>Dana</w:t>
            </w:r>
          </w:p>
        </w:tc>
      </w:tr>
    </w:tbl>
    <w:p>
      <w:pPr>
        <w:spacing w:line="20" w:lineRule="exact" w:after="0" w:before="0"/>
      </w:pPr>
      <w:r>
        <w:rPr>
          <w:rFonts w:ascii="Calibri" w:hAnsi="Calibri"/>
          <w:b w:val="0"/>
          <w:color w:val="1F1D1A"/>
          <w:sz w:val="2"/>
        </w:rPr>
      </w:r>
    </w:p>
    <w:sectPr w:rsidR="00FC693F" w:rsidRPr="0006063C" w:rsidSect="00034616">
      <w:headerReference w:type="default" r:id="rId9"/>
      <w:footerReference w:type="default" r:id="rId10"/>
      <w:pgSz w:w="12240" w:h="15840"/>
      <w:pgMar w:top="792" w:right="1080" w:bottom="792" w:left="1080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Calibri" w:hAnsi="Calibri"/>
        <w:b w:val="0"/>
        <w:color w:val="6B665E"/>
        <w:sz w:val="16"/>
      </w:rPr>
      <w:t xml:space="preserve">Free SOP template from Templacity  |  templacity.com  |  Page </w:t>
    </w:r>
    <w:r>
      <w:rPr>
        <w:rFonts w:ascii="Calibri" w:hAnsi="Calibri"/>
        <w:b w:val="0"/>
        <w:color w:val="6B665E"/>
        <w:sz w:val="16"/>
      </w:rPr>
      <w:fldChar w:fldCharType="begin"/>
      <w:instrText xml:space="preserve">PAGE</w:instrText>
      <w:fldChar w:fldCharType="end"/>
    </w:r>
    <w:r>
      <w:rPr>
        <w:rFonts w:ascii="Calibri" w:hAnsi="Calibri"/>
        <w:b w:val="0"/>
        <w:color w:val="6B665E"/>
        <w:sz w:val="16"/>
      </w:rPr>
      <w:t xml:space="preserve"> of </w:t>
    </w:r>
    <w:r>
      <w:rPr>
        <w:rFonts w:ascii="Calibri" w:hAnsi="Calibri"/>
        <w:b w:val="0"/>
        <w:color w:val="6B665E"/>
        <w:sz w:val="16"/>
      </w:rPr>
      <w:fldChar w:fldCharType="begin"/>
      <w:instrText xml:space="preserve">NUMPAGES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drawing>
        <wp:inline xmlns:a="http://schemas.openxmlformats.org/drawingml/2006/main" xmlns:pic="http://schemas.openxmlformats.org/drawingml/2006/picture">
          <wp:extent cx="1231504" cy="18288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_sop-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1504" cy="18288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Calibri" w:hAnsi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template</dc:title>
  <dc:subject/>
  <dc:creator>Templacity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